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3</w:t>
      </w:r>
    </w:p>
    <w:p>
      <w:pPr>
        <w:widowControl/>
        <w:spacing w:line="560" w:lineRule="exact"/>
        <w:jc w:val="center"/>
        <w:rPr>
          <w:rFonts w:ascii="Times New Roman"/>
          <w:bCs/>
          <w:kern w:val="0"/>
          <w:sz w:val="44"/>
          <w:szCs w:val="44"/>
        </w:rPr>
      </w:pPr>
      <w:r>
        <w:rPr>
          <w:rFonts w:ascii="Times New Roman" w:eastAsia="方正小标宋简体"/>
          <w:bCs/>
          <w:kern w:val="0"/>
          <w:sz w:val="44"/>
          <w:szCs w:val="44"/>
        </w:rPr>
        <w:t>2020年上半年朝阳区</w:t>
      </w:r>
      <w:r>
        <w:rPr>
          <w:rFonts w:hint="eastAsia" w:ascii="Times New Roman"/>
          <w:bCs/>
          <w:kern w:val="0"/>
          <w:sz w:val="44"/>
          <w:szCs w:val="44"/>
        </w:rPr>
        <w:t>“</w:t>
      </w:r>
      <w:r>
        <w:rPr>
          <w:rFonts w:hint="eastAsia" w:ascii="Times New Roman" w:eastAsia="方正小标宋简体"/>
          <w:bCs/>
          <w:kern w:val="0"/>
          <w:sz w:val="44"/>
          <w:szCs w:val="44"/>
        </w:rPr>
        <w:t>疏解整治促提升</w:t>
      </w:r>
      <w:r>
        <w:rPr>
          <w:rFonts w:hint="eastAsia" w:ascii="Times New Roman"/>
          <w:bCs/>
          <w:kern w:val="0"/>
          <w:sz w:val="44"/>
          <w:szCs w:val="44"/>
        </w:rPr>
        <w:t>”</w:t>
      </w:r>
    </w:p>
    <w:p>
      <w:pPr>
        <w:widowControl/>
        <w:spacing w:line="560" w:lineRule="exact"/>
        <w:jc w:val="center"/>
        <w:rPr>
          <w:rFonts w:ascii="Times New Roman" w:eastAsia="方正小标宋简体"/>
          <w:bCs/>
          <w:kern w:val="0"/>
          <w:sz w:val="44"/>
          <w:szCs w:val="44"/>
        </w:rPr>
      </w:pPr>
      <w:r>
        <w:rPr>
          <w:rFonts w:ascii="Times New Roman" w:eastAsia="方正小标宋简体"/>
          <w:bCs/>
          <w:kern w:val="0"/>
          <w:sz w:val="44"/>
          <w:szCs w:val="44"/>
        </w:rPr>
        <w:t>专项行动进展情况</w:t>
      </w:r>
    </w:p>
    <w:p>
      <w:pPr>
        <w:widowControl/>
        <w:spacing w:line="580" w:lineRule="exact"/>
        <w:jc w:val="left"/>
        <w:rPr>
          <w:rFonts w:ascii="Times New Roman" w:eastAsia="黑体"/>
          <w:szCs w:val="32"/>
        </w:rPr>
      </w:pPr>
    </w:p>
    <w:tbl>
      <w:tblPr>
        <w:tblStyle w:val="4"/>
        <w:tblW w:w="10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1872"/>
        <w:gridCol w:w="1984"/>
        <w:gridCol w:w="1149"/>
        <w:gridCol w:w="1828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类别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专项行动名称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年度任务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1-6月完成量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完成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比例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截至目前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完成量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完成</w:t>
            </w:r>
          </w:p>
          <w:p>
            <w:pPr>
              <w:spacing w:line="400" w:lineRule="exact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ascii="Times New Roman" w:eastAsia="黑体"/>
                <w:sz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b/>
                <w:bCs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b/>
                <w:bCs/>
                <w:kern w:val="0"/>
                <w:sz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b/>
                <w:bCs/>
                <w:kern w:val="0"/>
                <w:sz w:val="24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市级任务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Times New Roman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Times New Roman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/>
                <w:lang w:val="en-US" w:eastAsia="zh-CN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市级任务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违法建设拆除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286万平方米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152.46万平方米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53.3%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184.67万平方米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64.6%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325公顷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163.39公顷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50.3%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194.36公顷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59.8%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物流中心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普通地下室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整治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人防工程环境恢复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246处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140处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57%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235处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95.5%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棚户区改造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1000户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288户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28.8%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304户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30.4%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留白增绿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172公顷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完成栽植140.4公顷，完成销账51.63公顷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81.6%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完成栽植140.4公顷，完成销账123.66公顷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81.6%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30.8公顷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完成方案设计及专家评审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已启动立项程序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疏解教育培训机构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13家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11家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84.6%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12家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92.3%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开墙打洞整治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无证无照经营整治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411户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312户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75.9%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314户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76.4%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背街小巷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175条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完工100条，市级验收通过7条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4%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完工105条，市级验收通过51条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一般制造业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11家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8家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72.7%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10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90.9%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占道经营整治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146处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146处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100%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146处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建设提升便民服务网点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110家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69家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62.7%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79家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71.8%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商品交易市场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完成计划外2家，账内任务持续推进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完成计划外2家，账内任务持续推进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城乡结合部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改造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150万平方米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128.73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85.8%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128.73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85.8%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233.89公顷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111.78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47.8%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111.78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47.8%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>“散乱污”</w:t>
            </w:r>
            <w:r>
              <w:rPr>
                <w:rFonts w:ascii="Times New Roman"/>
                <w:kern w:val="0"/>
                <w:sz w:val="24"/>
              </w:rPr>
              <w:t>企业清理整治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持续开展动态清零整治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群租房治理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180户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238户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其他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出租大院和出租公寓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20个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28个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140%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28个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规范社会办学、办园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29家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27家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93.1%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28家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96.9%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劳动保障监察</w:t>
            </w:r>
          </w:p>
        </w:tc>
        <w:tc>
          <w:tcPr>
            <w:tcW w:w="1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4000家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3929家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98.2%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5319家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133.0%</w:t>
            </w:r>
          </w:p>
        </w:tc>
      </w:tr>
    </w:tbl>
    <w:p>
      <w:pPr>
        <w:rPr>
          <w:rFonts w:ascii="Times New Roma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0A46"/>
    <w:rsid w:val="425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hAnsi="Tahoma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2020-09-01T03:22:00Z</dcterms:created>
  <dc:creator>用户</dc:creator>
  <cp:lastModifiedBy>用户</cp:lastModifiedBy>
  <dcterms:modified xsi:type="dcterms:W3CDTF">2020-09-01T03:22:29Z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